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150" w:beforeAutospacing="0" w:after="0" w:afterAutospacing="0" w:line="450" w:lineRule="atLeast"/>
        <w:ind w:firstLine="388"/>
        <w:jc w:val="both"/>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附件：</w:t>
      </w:r>
    </w:p>
    <w:p>
      <w:pPr>
        <w:jc w:val="center"/>
        <w:rPr>
          <w:rFonts w:ascii="仿宋_GB2312" w:hAnsi="宋体" w:eastAsia="仿宋_GB2312" w:cs="宋体"/>
          <w:b/>
          <w:bCs/>
          <w:sz w:val="36"/>
          <w:szCs w:val="36"/>
        </w:rPr>
      </w:pPr>
      <w:bookmarkStart w:id="0" w:name="_GoBack"/>
      <w:r>
        <w:rPr>
          <w:rFonts w:hint="eastAsia" w:ascii="仿宋_GB2312" w:hAnsi="宋体" w:eastAsia="仿宋_GB2312" w:cs="宋体"/>
          <w:b/>
          <w:bCs/>
          <w:sz w:val="36"/>
          <w:szCs w:val="36"/>
        </w:rPr>
        <w:t>六部医用电梯维保服务需求</w:t>
      </w:r>
    </w:p>
    <w:bookmarkEnd w:id="0"/>
    <w:p>
      <w:pPr>
        <w:spacing w:line="360" w:lineRule="auto"/>
        <w:ind w:firstLine="560" w:firstLineChars="200"/>
        <w:jc w:val="left"/>
        <w:rPr>
          <w:rFonts w:ascii="宋体" w:hAnsi="宋体" w:cs="宋体"/>
          <w:color w:val="000000"/>
          <w:sz w:val="28"/>
          <w:szCs w:val="28"/>
        </w:rPr>
      </w:pPr>
      <w:r>
        <w:rPr>
          <w:rFonts w:hint="eastAsia" w:ascii="宋体" w:hAnsi="宋体" w:cs="宋体"/>
          <w:sz w:val="28"/>
          <w:szCs w:val="28"/>
        </w:rPr>
        <w:t>采用半包方式（300元以下部件免费更换、</w:t>
      </w:r>
      <w:r>
        <w:rPr>
          <w:rFonts w:hint="eastAsia" w:ascii="宋体" w:hAnsi="宋体" w:cs="宋体"/>
          <w:color w:val="000000"/>
          <w:sz w:val="28"/>
          <w:szCs w:val="28"/>
        </w:rPr>
        <w:t>导轨润滑油免费更换、电梯检验合格期内附送电梯安全责任保险）</w:t>
      </w:r>
    </w:p>
    <w:p>
      <w:pPr>
        <w:spacing w:line="360" w:lineRule="auto"/>
        <w:jc w:val="left"/>
        <w:rPr>
          <w:rFonts w:ascii="宋体" w:hAnsi="宋体" w:cs="宋体"/>
          <w:b/>
          <w:bCs/>
          <w:sz w:val="28"/>
          <w:szCs w:val="28"/>
        </w:rPr>
      </w:pPr>
      <w:r>
        <w:rPr>
          <w:rFonts w:hint="eastAsia" w:ascii="宋体" w:hAnsi="宋体" w:cs="宋体"/>
          <w:b/>
          <w:bCs/>
          <w:sz w:val="28"/>
          <w:szCs w:val="28"/>
        </w:rPr>
        <w:t>一、质量及承诺</w:t>
      </w:r>
    </w:p>
    <w:p>
      <w:pPr>
        <w:spacing w:line="360" w:lineRule="auto"/>
        <w:jc w:val="left"/>
        <w:rPr>
          <w:rFonts w:ascii="宋体" w:hAnsi="宋体" w:cs="宋体"/>
          <w:sz w:val="28"/>
          <w:szCs w:val="28"/>
        </w:rPr>
      </w:pPr>
      <w:r>
        <w:rPr>
          <w:rFonts w:hint="eastAsia" w:ascii="宋体" w:hAnsi="宋体" w:cs="宋体"/>
          <w:sz w:val="28"/>
          <w:szCs w:val="28"/>
        </w:rPr>
        <w:t>1、维保单位确保全部电梯始终处于国家规定的正常使用状态；</w:t>
      </w:r>
    </w:p>
    <w:p>
      <w:pPr>
        <w:spacing w:line="360" w:lineRule="auto"/>
        <w:jc w:val="left"/>
        <w:rPr>
          <w:rFonts w:ascii="宋体" w:hAnsi="宋体" w:cs="宋体"/>
          <w:sz w:val="28"/>
          <w:szCs w:val="28"/>
        </w:rPr>
      </w:pPr>
      <w:r>
        <w:rPr>
          <w:rFonts w:hint="eastAsia" w:ascii="宋体" w:hAnsi="宋体" w:cs="宋体"/>
          <w:sz w:val="28"/>
          <w:szCs w:val="28"/>
        </w:rPr>
        <w:t>2、维保单位实施日常维护保养后的电梯应当符合以下标准的规定：</w:t>
      </w:r>
    </w:p>
    <w:p>
      <w:pPr>
        <w:spacing w:line="360" w:lineRule="auto"/>
        <w:jc w:val="left"/>
        <w:rPr>
          <w:rFonts w:ascii="宋体" w:hAnsi="宋体" w:cs="宋体"/>
          <w:sz w:val="28"/>
          <w:szCs w:val="28"/>
        </w:rPr>
      </w:pPr>
      <w:r>
        <w:rPr>
          <w:rFonts w:hint="eastAsia" w:ascii="宋体" w:hAnsi="宋体" w:cs="宋体"/>
          <w:sz w:val="28"/>
          <w:szCs w:val="28"/>
        </w:rPr>
        <w:t>《电梯维修规范》（GB/T18775）</w:t>
      </w:r>
    </w:p>
    <w:p>
      <w:pPr>
        <w:spacing w:line="360" w:lineRule="auto"/>
        <w:jc w:val="left"/>
        <w:rPr>
          <w:rFonts w:ascii="宋体" w:hAnsi="宋体" w:cs="宋体"/>
          <w:sz w:val="28"/>
          <w:szCs w:val="28"/>
        </w:rPr>
      </w:pPr>
      <w:r>
        <w:rPr>
          <w:rFonts w:hint="eastAsia" w:ascii="宋体" w:hAnsi="宋体" w:cs="宋体"/>
          <w:sz w:val="28"/>
          <w:szCs w:val="28"/>
        </w:rPr>
        <w:t>《电梯制造与安装安全规范》（GB7588）</w:t>
      </w:r>
    </w:p>
    <w:p>
      <w:pPr>
        <w:spacing w:line="360" w:lineRule="auto"/>
        <w:jc w:val="left"/>
        <w:rPr>
          <w:rFonts w:ascii="宋体" w:hAnsi="宋体" w:cs="宋体"/>
          <w:sz w:val="28"/>
          <w:szCs w:val="28"/>
        </w:rPr>
      </w:pPr>
      <w:r>
        <w:rPr>
          <w:rFonts w:hint="eastAsia" w:ascii="宋体" w:hAnsi="宋体" w:cs="宋体"/>
          <w:sz w:val="28"/>
          <w:szCs w:val="28"/>
        </w:rPr>
        <w:t>《电梯使用管理与维护保养规则》（TSG T5001-2009）</w:t>
      </w:r>
    </w:p>
    <w:p>
      <w:pPr>
        <w:pStyle w:val="5"/>
        <w:spacing w:line="360" w:lineRule="auto"/>
        <w:rPr>
          <w:rFonts w:hAnsi="宋体" w:cs="宋体"/>
          <w:sz w:val="28"/>
          <w:szCs w:val="28"/>
        </w:rPr>
      </w:pPr>
      <w:r>
        <w:rPr>
          <w:rFonts w:hint="eastAsia" w:hAnsi="宋体" w:cs="宋体"/>
          <w:sz w:val="28"/>
          <w:szCs w:val="28"/>
        </w:rPr>
        <w:t>3、维保单位提供完备的电梯维保方案、各项服务详尽的质量标准及服务承诺。</w:t>
      </w:r>
    </w:p>
    <w:p>
      <w:pPr>
        <w:pStyle w:val="5"/>
        <w:spacing w:line="360" w:lineRule="auto"/>
        <w:rPr>
          <w:rFonts w:hAnsi="宋体" w:cs="宋体"/>
          <w:b/>
          <w:bCs/>
          <w:sz w:val="28"/>
          <w:szCs w:val="28"/>
        </w:rPr>
      </w:pPr>
      <w:r>
        <w:rPr>
          <w:rFonts w:hint="eastAsia" w:hAnsi="宋体" w:cs="宋体"/>
          <w:b/>
          <w:bCs/>
          <w:sz w:val="28"/>
          <w:szCs w:val="28"/>
        </w:rPr>
        <w:t>二、维修保养方案</w:t>
      </w:r>
    </w:p>
    <w:p>
      <w:pPr>
        <w:spacing w:line="360" w:lineRule="auto"/>
        <w:jc w:val="left"/>
        <w:rPr>
          <w:rFonts w:ascii="宋体" w:hAnsi="宋体" w:cs="宋体"/>
          <w:sz w:val="28"/>
          <w:szCs w:val="28"/>
        </w:rPr>
      </w:pPr>
      <w:r>
        <w:rPr>
          <w:rFonts w:hint="eastAsia" w:ascii="宋体" w:hAnsi="宋体" w:cs="宋体"/>
          <w:sz w:val="28"/>
          <w:szCs w:val="28"/>
        </w:rPr>
        <w:t>1、维保单位应当按照《电梯使用管理与维护保养规则》（TSG T5001-2009）完成半月、季度、半年、年保养项目，并做好维护保养记录;</w:t>
      </w:r>
    </w:p>
    <w:p>
      <w:pPr>
        <w:spacing w:line="360" w:lineRule="auto"/>
        <w:jc w:val="left"/>
        <w:rPr>
          <w:rFonts w:ascii="宋体" w:hAnsi="宋体" w:cs="宋体"/>
          <w:sz w:val="28"/>
          <w:szCs w:val="28"/>
        </w:rPr>
      </w:pPr>
      <w:r>
        <w:rPr>
          <w:rFonts w:hint="eastAsia" w:ascii="宋体" w:hAnsi="宋体" w:cs="宋体"/>
          <w:sz w:val="28"/>
          <w:szCs w:val="28"/>
        </w:rPr>
        <w:t>2、维保单位应编制保养计划，分为半月、季、年度全面维修和保养，并按甲方确认的计划组织实施，提供半月、季、年工作总结；每年一度的检查是针对电梯在运行过程的整机性能和安全设施进行检查，整机性能包括乘坐舒适感，运行的振动、噪音、运行速度和平层准确度五个方面。安全设施包括超速保护、断相、错相保护，冲顶墩底缓冲装置，超载及上下工作位置的保护等。</w:t>
      </w:r>
    </w:p>
    <w:p>
      <w:pPr>
        <w:spacing w:line="360" w:lineRule="auto"/>
        <w:jc w:val="left"/>
        <w:rPr>
          <w:rFonts w:ascii="宋体" w:hAnsi="宋体" w:cs="宋体"/>
          <w:b/>
          <w:bCs/>
          <w:sz w:val="28"/>
          <w:szCs w:val="28"/>
        </w:rPr>
      </w:pPr>
      <w:r>
        <w:rPr>
          <w:rFonts w:hint="eastAsia" w:ascii="宋体" w:hAnsi="宋体" w:cs="宋体"/>
          <w:b/>
          <w:bCs/>
          <w:sz w:val="28"/>
          <w:szCs w:val="28"/>
        </w:rPr>
        <w:t>三、服务措施</w:t>
      </w:r>
    </w:p>
    <w:p>
      <w:pPr>
        <w:spacing w:line="360" w:lineRule="auto"/>
        <w:ind w:firstLine="560" w:firstLineChars="200"/>
        <w:jc w:val="left"/>
        <w:rPr>
          <w:rFonts w:ascii="宋体" w:hAnsi="宋体" w:cs="宋体"/>
          <w:color w:val="auto"/>
          <w:sz w:val="28"/>
          <w:szCs w:val="28"/>
        </w:rPr>
      </w:pPr>
      <w:r>
        <w:rPr>
          <w:rFonts w:hint="eastAsia" w:ascii="宋体" w:hAnsi="宋体" w:cs="宋体"/>
          <w:sz w:val="28"/>
          <w:szCs w:val="28"/>
        </w:rPr>
        <w:t>维保单位应提供24小时运行</w:t>
      </w:r>
      <w:r>
        <w:rPr>
          <w:rFonts w:hint="eastAsia" w:ascii="宋体" w:hAnsi="宋体" w:cs="宋体"/>
          <w:color w:val="auto"/>
          <w:sz w:val="28"/>
          <w:szCs w:val="28"/>
        </w:rPr>
        <w:t>保障管理服务，受理院方日常需求，对院方重大和应急事件，能派驻专人驻场。在日常使用中若遇故障停梯或困人事件必须在30分钟内到现场处理，15分钟内解救出被困人员，一般故障应在1小时内处理完成。</w:t>
      </w:r>
    </w:p>
    <w:p>
      <w:pPr>
        <w:spacing w:line="360" w:lineRule="auto"/>
        <w:jc w:val="left"/>
        <w:rPr>
          <w:rFonts w:ascii="宋体" w:hAnsi="宋体" w:cs="宋体"/>
          <w:b/>
          <w:bCs/>
          <w:color w:val="auto"/>
          <w:sz w:val="28"/>
          <w:szCs w:val="28"/>
        </w:rPr>
      </w:pPr>
      <w:r>
        <w:rPr>
          <w:rFonts w:hint="eastAsia" w:ascii="宋体" w:hAnsi="宋体" w:cs="宋体"/>
          <w:b/>
          <w:bCs/>
          <w:color w:val="auto"/>
          <w:sz w:val="28"/>
          <w:szCs w:val="28"/>
        </w:rPr>
        <w:t>四、维修检测设备及零部件储备</w:t>
      </w:r>
    </w:p>
    <w:p>
      <w:pPr>
        <w:spacing w:line="360" w:lineRule="auto"/>
        <w:jc w:val="left"/>
        <w:rPr>
          <w:rFonts w:ascii="宋体" w:hAnsi="宋体" w:cs="宋体"/>
          <w:color w:val="auto"/>
          <w:sz w:val="28"/>
          <w:szCs w:val="28"/>
        </w:rPr>
      </w:pPr>
      <w:r>
        <w:rPr>
          <w:rFonts w:hint="eastAsia" w:ascii="宋体" w:hAnsi="宋体" w:cs="宋体"/>
          <w:color w:val="auto"/>
          <w:sz w:val="28"/>
          <w:szCs w:val="28"/>
        </w:rPr>
        <w:t>1、维保单位提供维保所需工具和劳务，并免费提供300元以下电梯零部件。（免费提供的零部件应在投标文件中详细列出）</w:t>
      </w:r>
    </w:p>
    <w:p>
      <w:pPr>
        <w:spacing w:line="360" w:lineRule="auto"/>
        <w:jc w:val="left"/>
        <w:rPr>
          <w:rFonts w:ascii="宋体" w:hAnsi="宋体" w:cs="宋体"/>
          <w:color w:val="auto"/>
          <w:sz w:val="28"/>
          <w:szCs w:val="28"/>
        </w:rPr>
      </w:pPr>
      <w:r>
        <w:rPr>
          <w:rFonts w:hint="eastAsia" w:ascii="宋体" w:hAnsi="宋体" w:cs="宋体"/>
          <w:color w:val="auto"/>
          <w:sz w:val="28"/>
          <w:szCs w:val="28"/>
        </w:rPr>
        <w:t>2、维保单位需具有履行合同所必需维修设备和专业技术能力。</w:t>
      </w:r>
    </w:p>
    <w:p>
      <w:pPr>
        <w:spacing w:line="360" w:lineRule="auto"/>
        <w:jc w:val="left"/>
        <w:rPr>
          <w:rFonts w:ascii="宋体" w:hAnsi="宋体" w:cs="宋体"/>
          <w:b/>
          <w:bCs/>
          <w:color w:val="auto"/>
          <w:sz w:val="28"/>
          <w:szCs w:val="28"/>
        </w:rPr>
      </w:pPr>
      <w:r>
        <w:rPr>
          <w:rFonts w:hint="eastAsia" w:ascii="宋体" w:hAnsi="宋体" w:cs="宋体"/>
          <w:b/>
          <w:bCs/>
          <w:color w:val="auto"/>
          <w:sz w:val="28"/>
          <w:szCs w:val="28"/>
        </w:rPr>
        <w:t>五、信誉情况</w:t>
      </w:r>
    </w:p>
    <w:p>
      <w:pPr>
        <w:spacing w:line="360" w:lineRule="auto"/>
        <w:jc w:val="left"/>
        <w:rPr>
          <w:rFonts w:ascii="宋体" w:hAnsi="宋体" w:cs="宋体"/>
          <w:color w:val="auto"/>
          <w:sz w:val="28"/>
          <w:szCs w:val="28"/>
        </w:rPr>
      </w:pPr>
      <w:r>
        <w:rPr>
          <w:rFonts w:hint="eastAsia" w:ascii="宋体" w:hAnsi="宋体" w:cs="宋体"/>
          <w:color w:val="auto"/>
          <w:sz w:val="28"/>
          <w:szCs w:val="28"/>
        </w:rPr>
        <w:t>1、维保单位需具有为</w:t>
      </w:r>
      <w:r>
        <w:rPr>
          <w:rFonts w:hint="eastAsia" w:ascii="宋体" w:hAnsi="宋体" w:cs="宋体"/>
          <w:color w:val="auto"/>
          <w:sz w:val="28"/>
          <w:szCs w:val="28"/>
          <w:lang w:eastAsia="zh-CN"/>
        </w:rPr>
        <w:t>沈阳市</w:t>
      </w:r>
      <w:r>
        <w:rPr>
          <w:rFonts w:hint="eastAsia" w:ascii="宋体" w:hAnsi="宋体" w:cs="宋体"/>
          <w:color w:val="auto"/>
          <w:sz w:val="28"/>
          <w:szCs w:val="28"/>
        </w:rPr>
        <w:t>市级</w:t>
      </w:r>
      <w:r>
        <w:rPr>
          <w:rFonts w:hint="eastAsia" w:ascii="宋体" w:hAnsi="宋体" w:cs="宋体"/>
          <w:color w:val="auto"/>
          <w:sz w:val="28"/>
          <w:szCs w:val="28"/>
          <w:lang w:eastAsia="zh-CN"/>
        </w:rPr>
        <w:t>医疗机构</w:t>
      </w:r>
      <w:r>
        <w:rPr>
          <w:rFonts w:hint="eastAsia" w:ascii="宋体" w:hAnsi="宋体" w:cs="宋体"/>
          <w:color w:val="auto"/>
          <w:sz w:val="28"/>
          <w:szCs w:val="28"/>
        </w:rPr>
        <w:t>（至少3家）提供电梯维保服务的经历及经验；</w:t>
      </w:r>
    </w:p>
    <w:p>
      <w:pPr>
        <w:pStyle w:val="5"/>
        <w:spacing w:line="360" w:lineRule="auto"/>
        <w:rPr>
          <w:rFonts w:hAnsi="宋体" w:cs="宋体"/>
          <w:sz w:val="28"/>
          <w:szCs w:val="28"/>
        </w:rPr>
      </w:pPr>
      <w:r>
        <w:rPr>
          <w:rFonts w:hint="eastAsia" w:hAnsi="宋体" w:cs="宋体"/>
          <w:sz w:val="28"/>
          <w:szCs w:val="28"/>
        </w:rPr>
        <w:t xml:space="preserve">2、维保单位需具有良好的服务信誉和健全的财务会计制度； </w:t>
      </w:r>
    </w:p>
    <w:p>
      <w:pPr>
        <w:pStyle w:val="5"/>
        <w:spacing w:line="360" w:lineRule="auto"/>
        <w:rPr>
          <w:rFonts w:hAnsi="宋体" w:cs="宋体"/>
          <w:sz w:val="28"/>
          <w:szCs w:val="28"/>
        </w:rPr>
      </w:pPr>
      <w:r>
        <w:rPr>
          <w:rFonts w:hint="eastAsia" w:hAnsi="宋体" w:cs="宋体"/>
          <w:sz w:val="28"/>
          <w:szCs w:val="28"/>
        </w:rPr>
        <w:t>3、维保单位需具有依法缴纳税收和社会保障资金的良好记录；</w:t>
      </w:r>
    </w:p>
    <w:p>
      <w:pPr>
        <w:pStyle w:val="5"/>
        <w:spacing w:line="360" w:lineRule="auto"/>
        <w:rPr>
          <w:rFonts w:hAnsi="宋体" w:cs="宋体"/>
          <w:sz w:val="28"/>
          <w:szCs w:val="28"/>
        </w:rPr>
      </w:pPr>
      <w:r>
        <w:rPr>
          <w:rFonts w:hint="eastAsia" w:hAnsi="宋体" w:cs="宋体"/>
          <w:sz w:val="28"/>
          <w:szCs w:val="28"/>
        </w:rPr>
        <w:t>4、维保单位在参加本次投标活动前三年内，在服务活动中没有重大违法记录；</w:t>
      </w:r>
    </w:p>
    <w:p>
      <w:pPr>
        <w:spacing w:line="360" w:lineRule="exact"/>
        <w:rPr>
          <w:rFonts w:ascii="宋体" w:hAnsi="宋体" w:cs="宋体"/>
          <w:b/>
          <w:bCs/>
          <w:sz w:val="28"/>
          <w:szCs w:val="28"/>
        </w:rPr>
      </w:pPr>
      <w:r>
        <w:rPr>
          <w:rFonts w:hint="eastAsia" w:ascii="宋体" w:hAnsi="宋体" w:cs="宋体"/>
          <w:b/>
          <w:bCs/>
          <w:sz w:val="28"/>
          <w:szCs w:val="28"/>
        </w:rPr>
        <w:t>六、电梯维保清单</w:t>
      </w:r>
    </w:p>
    <w:tbl>
      <w:tblPr>
        <w:tblStyle w:val="11"/>
        <w:tblW w:w="8450" w:type="dxa"/>
        <w:tblInd w:w="113" w:type="dxa"/>
        <w:tblLayout w:type="fixed"/>
        <w:tblCellMar>
          <w:top w:w="0" w:type="dxa"/>
          <w:left w:w="108" w:type="dxa"/>
          <w:bottom w:w="0" w:type="dxa"/>
          <w:right w:w="108" w:type="dxa"/>
        </w:tblCellMar>
      </w:tblPr>
      <w:tblGrid>
        <w:gridCol w:w="926"/>
        <w:gridCol w:w="1248"/>
        <w:gridCol w:w="1068"/>
        <w:gridCol w:w="1260"/>
        <w:gridCol w:w="1428"/>
        <w:gridCol w:w="1500"/>
        <w:gridCol w:w="1020"/>
      </w:tblGrid>
      <w:tr>
        <w:tblPrEx>
          <w:tblCellMar>
            <w:top w:w="0" w:type="dxa"/>
            <w:left w:w="108" w:type="dxa"/>
            <w:bottom w:w="0" w:type="dxa"/>
            <w:right w:w="108" w:type="dxa"/>
          </w:tblCellMar>
        </w:tblPrEx>
        <w:trPr>
          <w:cantSplit/>
          <w:trHeight w:val="417" w:hRule="atLeast"/>
        </w:trPr>
        <w:tc>
          <w:tcPr>
            <w:tcW w:w="926"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编号</w:t>
            </w:r>
          </w:p>
        </w:tc>
        <w:tc>
          <w:tcPr>
            <w:tcW w:w="1248"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梯种</w:t>
            </w:r>
          </w:p>
        </w:tc>
        <w:tc>
          <w:tcPr>
            <w:tcW w:w="1068"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载重量</w:t>
            </w:r>
          </w:p>
        </w:tc>
        <w:tc>
          <w:tcPr>
            <w:tcW w:w="1260" w:type="dxa"/>
            <w:tcBorders>
              <w:top w:val="single" w:color="auto" w:sz="6"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层站</w:t>
            </w:r>
          </w:p>
        </w:tc>
        <w:tc>
          <w:tcPr>
            <w:tcW w:w="1428"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速度</w:t>
            </w:r>
          </w:p>
        </w:tc>
        <w:tc>
          <w:tcPr>
            <w:tcW w:w="1500"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有无机房</w:t>
            </w:r>
          </w:p>
        </w:tc>
        <w:tc>
          <w:tcPr>
            <w:tcW w:w="1020"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品牌</w:t>
            </w:r>
          </w:p>
        </w:tc>
      </w:tr>
      <w:tr>
        <w:tblPrEx>
          <w:tblCellMar>
            <w:top w:w="0" w:type="dxa"/>
            <w:left w:w="108" w:type="dxa"/>
            <w:bottom w:w="0" w:type="dxa"/>
            <w:right w:w="108" w:type="dxa"/>
          </w:tblCellMar>
        </w:tblPrEx>
        <w:trPr>
          <w:cantSplit/>
          <w:trHeight w:val="436" w:hRule="atLeast"/>
        </w:trPr>
        <w:tc>
          <w:tcPr>
            <w:tcW w:w="926"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急诊</w:t>
            </w:r>
          </w:p>
        </w:tc>
        <w:tc>
          <w:tcPr>
            <w:tcW w:w="1248"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病床电梯</w:t>
            </w:r>
          </w:p>
        </w:tc>
        <w:tc>
          <w:tcPr>
            <w:tcW w:w="1068"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1300KG</w:t>
            </w:r>
          </w:p>
        </w:tc>
        <w:tc>
          <w:tcPr>
            <w:tcW w:w="1260" w:type="dxa"/>
            <w:tcBorders>
              <w:top w:val="single" w:color="auto" w:sz="6"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7层7站</w:t>
            </w:r>
          </w:p>
        </w:tc>
        <w:tc>
          <w:tcPr>
            <w:tcW w:w="1428" w:type="dxa"/>
            <w:tcBorders>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1.0m/s</w:t>
            </w:r>
          </w:p>
        </w:tc>
        <w:tc>
          <w:tcPr>
            <w:tcW w:w="1500" w:type="dxa"/>
            <w:tcBorders>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有</w:t>
            </w:r>
          </w:p>
        </w:tc>
        <w:tc>
          <w:tcPr>
            <w:tcW w:w="1020" w:type="dxa"/>
            <w:tcBorders>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三洋</w:t>
            </w:r>
          </w:p>
        </w:tc>
      </w:tr>
      <w:tr>
        <w:tblPrEx>
          <w:tblCellMar>
            <w:top w:w="0" w:type="dxa"/>
            <w:left w:w="108" w:type="dxa"/>
            <w:bottom w:w="0" w:type="dxa"/>
            <w:right w:w="108" w:type="dxa"/>
          </w:tblCellMar>
        </w:tblPrEx>
        <w:trPr>
          <w:cantSplit/>
          <w:trHeight w:val="413" w:hRule="atLeast"/>
        </w:trPr>
        <w:tc>
          <w:tcPr>
            <w:tcW w:w="926"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2#</w:t>
            </w:r>
          </w:p>
        </w:tc>
        <w:tc>
          <w:tcPr>
            <w:tcW w:w="1248"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病床电梯</w:t>
            </w:r>
          </w:p>
        </w:tc>
        <w:tc>
          <w:tcPr>
            <w:tcW w:w="1068"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1600KG</w:t>
            </w:r>
          </w:p>
        </w:tc>
        <w:tc>
          <w:tcPr>
            <w:tcW w:w="1260"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5层5站</w:t>
            </w:r>
          </w:p>
        </w:tc>
        <w:tc>
          <w:tcPr>
            <w:tcW w:w="1428"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1.0m/s</w:t>
            </w:r>
          </w:p>
        </w:tc>
        <w:tc>
          <w:tcPr>
            <w:tcW w:w="1500"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无</w:t>
            </w:r>
          </w:p>
        </w:tc>
        <w:tc>
          <w:tcPr>
            <w:tcW w:w="1020"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博林特</w:t>
            </w:r>
          </w:p>
        </w:tc>
      </w:tr>
      <w:tr>
        <w:tblPrEx>
          <w:tblCellMar>
            <w:top w:w="0" w:type="dxa"/>
            <w:left w:w="108" w:type="dxa"/>
            <w:bottom w:w="0" w:type="dxa"/>
            <w:right w:w="108" w:type="dxa"/>
          </w:tblCellMar>
        </w:tblPrEx>
        <w:trPr>
          <w:cantSplit/>
          <w:trHeight w:val="404" w:hRule="atLeast"/>
        </w:trPr>
        <w:tc>
          <w:tcPr>
            <w:tcW w:w="926"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干诊</w:t>
            </w:r>
          </w:p>
        </w:tc>
        <w:tc>
          <w:tcPr>
            <w:tcW w:w="1248"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病床电梯</w:t>
            </w:r>
          </w:p>
        </w:tc>
        <w:tc>
          <w:tcPr>
            <w:tcW w:w="1068"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1600KG</w:t>
            </w:r>
          </w:p>
        </w:tc>
        <w:tc>
          <w:tcPr>
            <w:tcW w:w="1260"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6层6站</w:t>
            </w:r>
          </w:p>
        </w:tc>
        <w:tc>
          <w:tcPr>
            <w:tcW w:w="1428"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1.0m/s</w:t>
            </w:r>
          </w:p>
        </w:tc>
        <w:tc>
          <w:tcPr>
            <w:tcW w:w="1500"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有</w:t>
            </w:r>
          </w:p>
        </w:tc>
        <w:tc>
          <w:tcPr>
            <w:tcW w:w="1020"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东芝</w:t>
            </w:r>
          </w:p>
        </w:tc>
      </w:tr>
      <w:tr>
        <w:tblPrEx>
          <w:tblCellMar>
            <w:top w:w="0" w:type="dxa"/>
            <w:left w:w="108" w:type="dxa"/>
            <w:bottom w:w="0" w:type="dxa"/>
            <w:right w:w="108" w:type="dxa"/>
          </w:tblCellMar>
        </w:tblPrEx>
        <w:trPr>
          <w:cantSplit/>
          <w:trHeight w:val="404" w:hRule="atLeast"/>
        </w:trPr>
        <w:tc>
          <w:tcPr>
            <w:tcW w:w="926"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肾病</w:t>
            </w:r>
          </w:p>
        </w:tc>
        <w:tc>
          <w:tcPr>
            <w:tcW w:w="1248" w:type="dxa"/>
            <w:tcBorders>
              <w:top w:val="single" w:color="auto" w:sz="6" w:space="0"/>
              <w:left w:val="single" w:color="auto" w:sz="6" w:space="0"/>
              <w:bottom w:val="single" w:color="auto" w:sz="6" w:space="0"/>
              <w:right w:val="single" w:color="auto" w:sz="6" w:space="0"/>
            </w:tcBorders>
            <w:vAlign w:val="center"/>
          </w:tcPr>
          <w:p>
            <w:pPr>
              <w:pStyle w:val="15"/>
              <w:jc w:val="both"/>
              <w:rPr>
                <w:rFonts w:ascii="宋体" w:hAnsi="宋体" w:cs="宋体"/>
              </w:rPr>
            </w:pPr>
            <w:r>
              <w:rPr>
                <w:rFonts w:hint="eastAsia" w:ascii="宋体" w:hAnsi="宋体" w:cs="宋体"/>
              </w:rPr>
              <w:t>病床电梯</w:t>
            </w:r>
          </w:p>
        </w:tc>
        <w:tc>
          <w:tcPr>
            <w:tcW w:w="1068"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1600KG</w:t>
            </w:r>
          </w:p>
        </w:tc>
        <w:tc>
          <w:tcPr>
            <w:tcW w:w="1260"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3层2站</w:t>
            </w:r>
          </w:p>
        </w:tc>
        <w:tc>
          <w:tcPr>
            <w:tcW w:w="1428"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1.0m/s</w:t>
            </w:r>
          </w:p>
        </w:tc>
        <w:tc>
          <w:tcPr>
            <w:tcW w:w="1500"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无</w:t>
            </w:r>
          </w:p>
        </w:tc>
        <w:tc>
          <w:tcPr>
            <w:tcW w:w="1020"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三洋</w:t>
            </w:r>
          </w:p>
        </w:tc>
      </w:tr>
      <w:tr>
        <w:tblPrEx>
          <w:tblCellMar>
            <w:top w:w="0" w:type="dxa"/>
            <w:left w:w="108" w:type="dxa"/>
            <w:bottom w:w="0" w:type="dxa"/>
            <w:right w:w="108" w:type="dxa"/>
          </w:tblCellMar>
        </w:tblPrEx>
        <w:trPr>
          <w:cantSplit/>
          <w:trHeight w:val="404" w:hRule="atLeast"/>
        </w:trPr>
        <w:tc>
          <w:tcPr>
            <w:tcW w:w="926"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针灸1</w:t>
            </w:r>
          </w:p>
        </w:tc>
        <w:tc>
          <w:tcPr>
            <w:tcW w:w="1248"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病床电梯</w:t>
            </w:r>
          </w:p>
        </w:tc>
        <w:tc>
          <w:tcPr>
            <w:tcW w:w="1068"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1000KG</w:t>
            </w:r>
          </w:p>
        </w:tc>
        <w:tc>
          <w:tcPr>
            <w:tcW w:w="1260"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6层6站</w:t>
            </w:r>
          </w:p>
        </w:tc>
        <w:tc>
          <w:tcPr>
            <w:tcW w:w="1428"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1.0m/s</w:t>
            </w:r>
          </w:p>
        </w:tc>
        <w:tc>
          <w:tcPr>
            <w:tcW w:w="1500"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有</w:t>
            </w:r>
          </w:p>
        </w:tc>
        <w:tc>
          <w:tcPr>
            <w:tcW w:w="1020"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北富</w:t>
            </w:r>
          </w:p>
        </w:tc>
      </w:tr>
      <w:tr>
        <w:tblPrEx>
          <w:tblCellMar>
            <w:top w:w="0" w:type="dxa"/>
            <w:left w:w="108" w:type="dxa"/>
            <w:bottom w:w="0" w:type="dxa"/>
            <w:right w:w="108" w:type="dxa"/>
          </w:tblCellMar>
        </w:tblPrEx>
        <w:trPr>
          <w:cantSplit/>
          <w:trHeight w:val="404" w:hRule="atLeast"/>
        </w:trPr>
        <w:tc>
          <w:tcPr>
            <w:tcW w:w="926"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针灸2</w:t>
            </w:r>
          </w:p>
        </w:tc>
        <w:tc>
          <w:tcPr>
            <w:tcW w:w="1248"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病床电梯</w:t>
            </w:r>
          </w:p>
        </w:tc>
        <w:tc>
          <w:tcPr>
            <w:tcW w:w="1068"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1600KG</w:t>
            </w:r>
          </w:p>
        </w:tc>
        <w:tc>
          <w:tcPr>
            <w:tcW w:w="1260" w:type="dxa"/>
            <w:tcBorders>
              <w:top w:val="single" w:color="auto" w:sz="6" w:space="0"/>
              <w:left w:val="single" w:color="auto" w:sz="6" w:space="0"/>
              <w:bottom w:val="single" w:color="auto" w:sz="6" w:space="0"/>
              <w:right w:val="single" w:color="auto" w:sz="6" w:space="0"/>
            </w:tcBorders>
            <w:vAlign w:val="center"/>
          </w:tcPr>
          <w:p>
            <w:pPr>
              <w:pStyle w:val="15"/>
              <w:jc w:val="center"/>
              <w:rPr>
                <w:rFonts w:ascii="宋体" w:hAnsi="宋体" w:cs="宋体"/>
              </w:rPr>
            </w:pPr>
            <w:r>
              <w:rPr>
                <w:rFonts w:hint="eastAsia" w:ascii="宋体" w:hAnsi="宋体" w:cs="宋体"/>
              </w:rPr>
              <w:t>6层6站</w:t>
            </w:r>
          </w:p>
        </w:tc>
        <w:tc>
          <w:tcPr>
            <w:tcW w:w="1428"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1.0m/s</w:t>
            </w:r>
          </w:p>
        </w:tc>
        <w:tc>
          <w:tcPr>
            <w:tcW w:w="1500"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无</w:t>
            </w:r>
          </w:p>
        </w:tc>
        <w:tc>
          <w:tcPr>
            <w:tcW w:w="1020"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cs="宋体"/>
              </w:rPr>
            </w:pPr>
            <w:r>
              <w:rPr>
                <w:rFonts w:hint="eastAsia" w:ascii="宋体" w:hAnsi="宋体" w:cs="宋体"/>
              </w:rPr>
              <w:t>北富</w:t>
            </w:r>
          </w:p>
        </w:tc>
      </w:tr>
    </w:tbl>
    <w:p>
      <w:pPr>
        <w:rPr>
          <w:rFonts w:ascii="宋体" w:hAnsi="宋体" w:cs="宋体"/>
          <w:sz w:val="24"/>
        </w:rPr>
      </w:pPr>
    </w:p>
    <w:p>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YmQzNDY1MWRlN2RmYmZlMjg4MGQ4MWIyOWYyMDEifQ=="/>
  </w:docVars>
  <w:rsids>
    <w:rsidRoot w:val="582A7553"/>
    <w:rsid w:val="00312C20"/>
    <w:rsid w:val="0033147F"/>
    <w:rsid w:val="003B0BB7"/>
    <w:rsid w:val="005E4B15"/>
    <w:rsid w:val="006A3DCC"/>
    <w:rsid w:val="00876BEE"/>
    <w:rsid w:val="00933A10"/>
    <w:rsid w:val="00AE551A"/>
    <w:rsid w:val="00B930AC"/>
    <w:rsid w:val="00BB6BAA"/>
    <w:rsid w:val="00C41F22"/>
    <w:rsid w:val="00CB5FD8"/>
    <w:rsid w:val="00DF3242"/>
    <w:rsid w:val="00E33A5D"/>
    <w:rsid w:val="00E97E78"/>
    <w:rsid w:val="2A6721CB"/>
    <w:rsid w:val="3EF957C8"/>
    <w:rsid w:val="3F8762C9"/>
    <w:rsid w:val="41DE6C61"/>
    <w:rsid w:val="4620421C"/>
    <w:rsid w:val="46D843BC"/>
    <w:rsid w:val="4F8D4F1D"/>
    <w:rsid w:val="582A7553"/>
    <w:rsid w:val="5A057229"/>
    <w:rsid w:val="6A5A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sz w:val="34"/>
      <w:szCs w:val="22"/>
    </w:rPr>
  </w:style>
  <w:style w:type="paragraph" w:styleId="3">
    <w:name w:val="Body Text Indent"/>
    <w:basedOn w:val="1"/>
    <w:next w:val="1"/>
    <w:qFormat/>
    <w:uiPriority w:val="0"/>
    <w:pPr>
      <w:ind w:firstLine="435"/>
    </w:pPr>
    <w:rPr>
      <w:sz w:val="24"/>
    </w:rPr>
  </w:style>
  <w:style w:type="paragraph" w:styleId="4">
    <w:name w:val="Body Text"/>
    <w:basedOn w:val="1"/>
    <w:semiHidden/>
    <w:qFormat/>
    <w:uiPriority w:val="0"/>
    <w:pPr>
      <w:spacing w:after="120" w:line="300" w:lineRule="auto"/>
    </w:pPr>
    <w:rPr>
      <w:rFonts w:ascii="宋体"/>
      <w:sz w:val="28"/>
      <w:szCs w:val="26"/>
    </w:rPr>
  </w:style>
  <w:style w:type="paragraph" w:styleId="5">
    <w:name w:val="Plain Text"/>
    <w:basedOn w:val="1"/>
    <w:qFormat/>
    <w:uiPriority w:val="0"/>
    <w:rPr>
      <w:rFonts w:ascii="宋体" w:hAnsi="Courier New" w:cs="Courier New"/>
      <w:szCs w:val="21"/>
    </w:rPr>
  </w:style>
  <w:style w:type="paragraph" w:styleId="6">
    <w:name w:val="Body Text Indent 2"/>
    <w:basedOn w:val="1"/>
    <w:next w:val="7"/>
    <w:semiHidden/>
    <w:qFormat/>
    <w:uiPriority w:val="0"/>
    <w:pPr>
      <w:spacing w:after="120" w:line="480" w:lineRule="auto"/>
      <w:ind w:left="420" w:leftChars="200"/>
    </w:pPr>
    <w:rPr>
      <w:rFonts w:ascii="宋体"/>
      <w:sz w:val="28"/>
      <w:szCs w:val="26"/>
    </w:rPr>
  </w:style>
  <w:style w:type="paragraph" w:styleId="7">
    <w:name w:val="Body Text First Indent"/>
    <w:basedOn w:val="4"/>
    <w:semiHidden/>
    <w:qFormat/>
    <w:uiPriority w:val="0"/>
    <w:pPr>
      <w:ind w:firstLine="420" w:firstLineChars="100"/>
    </w:pPr>
  </w:style>
  <w:style w:type="paragraph" w:styleId="8">
    <w:name w:val="footer"/>
    <w:basedOn w:val="1"/>
    <w:link w:val="17"/>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rPr>
      <w:b/>
    </w:rPr>
  </w:style>
  <w:style w:type="paragraph" w:styleId="14">
    <w:name w:val="List Paragraph"/>
    <w:basedOn w:val="1"/>
    <w:qFormat/>
    <w:uiPriority w:val="0"/>
    <w:pPr>
      <w:ind w:firstLine="420" w:firstLineChars="200"/>
    </w:pPr>
    <w:rPr>
      <w:rFonts w:ascii="Times New Roman" w:hAnsi="Times New Roman"/>
    </w:rPr>
  </w:style>
  <w:style w:type="paragraph" w:customStyle="1" w:styleId="15">
    <w:name w:val="Default Text"/>
    <w:basedOn w:val="1"/>
    <w:qFormat/>
    <w:uiPriority w:val="0"/>
    <w:pPr>
      <w:autoSpaceDE w:val="0"/>
      <w:autoSpaceDN w:val="0"/>
      <w:adjustRightInd w:val="0"/>
      <w:jc w:val="left"/>
    </w:pPr>
    <w:rPr>
      <w:kern w:val="0"/>
      <w:sz w:val="24"/>
    </w:rPr>
  </w:style>
  <w:style w:type="character" w:customStyle="1" w:styleId="16">
    <w:name w:val="页眉 Char"/>
    <w:basedOn w:val="12"/>
    <w:link w:val="9"/>
    <w:uiPriority w:val="0"/>
    <w:rPr>
      <w:rFonts w:ascii="Calibri" w:hAnsi="Calibri" w:eastAsia="宋体" w:cs="Times New Roman"/>
      <w:kern w:val="2"/>
      <w:sz w:val="18"/>
      <w:szCs w:val="18"/>
    </w:rPr>
  </w:style>
  <w:style w:type="character" w:customStyle="1" w:styleId="17">
    <w:name w:val="页脚 Char"/>
    <w:basedOn w:val="12"/>
    <w:link w:val="8"/>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1787</Words>
  <Characters>1960</Characters>
  <Lines>15</Lines>
  <Paragraphs>4</Paragraphs>
  <TotalTime>18</TotalTime>
  <ScaleCrop>false</ScaleCrop>
  <LinksUpToDate>false</LinksUpToDate>
  <CharactersWithSpaces>2020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2022-07-15T02:08:00Z</dcterms:created>
  <dc:creator>Lenovo</dc:creator>
  <cp:lastModifiedBy>Administrator</cp:lastModifiedBy>
  <cp:lastPrinted>2023-07-18T07:27:00Z</cp:lastPrinted>
  <dcterms:modified xsi:type="dcterms:W3CDTF">2023-07-18T08:35:30Z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A1D601EE523E450E85360F4D33FFDF6D_13</vt:lpwstr>
  </property>
</Properties>
</file>